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000000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省民宗委予以修改的规范性文件目录</w:t>
      </w:r>
    </w:p>
    <w:p>
      <w:pPr>
        <w:jc w:val="left"/>
        <w:rPr>
          <w:rFonts w:hint="default" w:ascii="黑体" w:hAnsi="黑体" w:eastAsia="黑体"/>
          <w:color w:val="000000"/>
          <w:sz w:val="28"/>
          <w:szCs w:val="28"/>
          <w:lang w:val="en-US" w:eastAsia="zh-CN"/>
        </w:rPr>
      </w:pPr>
    </w:p>
    <w:tbl>
      <w:tblPr>
        <w:tblStyle w:val="3"/>
        <w:tblW w:w="8717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4459"/>
        <w:gridCol w:w="201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文件名称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eastAsia="zh-CN"/>
              </w:rPr>
              <w:t>文号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eastAsia="zh-CN"/>
              </w:rPr>
              <w:t>清理意见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省民宗委 省民政厅关于开展社区民族团结进步创建活动的意见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鄂民宗发﹝2014﹞36号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予以修改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湖北省民宗委、湖北省公安厅关于印发《湖北省公民民族成份登记管理实施细则（试行）》的通知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鄂民宗发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〔2018〕12号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予以修改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省民宗委办公室关于印发《湖北省民族宗教理论政策研究基地管理办法（试行）》的通知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予以修改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省民宗委关于印发《湖北省民族团结进步示范区示范单位命名办法（试行）》的通知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鄂民宗发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〔2020〕12号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予以修改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省委统战部 省委平安办 省民宗委关于开展平安宗教活动场所创建活动的通知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鄂民宗发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〔2021〕7号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予以修改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省民宗委关于印发《湖北省民宗委宗教活动场所“四不两直”常态化安全检查实施办法（试行）》的通知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鄂民宗发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〔2023〕8号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予以修改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MDA3ZmMwNGQ1ZDk1ODVmZTQwMGFkMjY4OWIyNzAifQ=="/>
  </w:docVars>
  <w:rsids>
    <w:rsidRoot w:val="6187643A"/>
    <w:rsid w:val="6187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2023-11-15T08:54:00Z</dcterms:created>
  <dc:creator>WYJZT²</dc:creator>
  <cp:lastModifiedBy>WYJZT²</cp:lastModifiedBy>
  <dcterms:modified xsi:type="dcterms:W3CDTF">2023-11-15T08:54:59Z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5417EE20686348E19434900525B7287E_11</vt:lpwstr>
  </property>
</Properties>
</file>